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BC47DB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>
        <w:t>DGPS-RTK</w:t>
      </w:r>
    </w:p>
    <w:p w:rsidR="008811EA" w:rsidRDefault="008811EA" w:rsidP="00A92132">
      <w:pPr>
        <w:jc w:val="both"/>
        <w:rPr>
          <w:lang w:val="en-US"/>
        </w:rPr>
      </w:pPr>
    </w:p>
    <w:p w:rsidR="008811EA" w:rsidRDefault="00B41FC5" w:rsidP="00A92132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1735639" cy="2772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12" t="19106" r="31088" b="37168"/>
                    <a:stretch/>
                  </pic:blipFill>
                  <pic:spPr bwMode="auto">
                    <a:xfrm>
                      <a:off x="0" y="0"/>
                      <a:ext cx="1735639" cy="27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760527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760527">
              <w:rPr>
                <w:rFonts w:ascii="Adobe Devanagari" w:hAnsi="Adobe Devanagari" w:cs="Adobe Devanagari"/>
                <w:lang w:val="en-US"/>
              </w:rPr>
              <w:t>Salt marshes, mangroves, tidal flats, dunes, beaches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760527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760527">
              <w:rPr>
                <w:rFonts w:ascii="Adobe Devanagari" w:hAnsi="Adobe Devanagari" w:cs="Adobe Devanagari"/>
                <w:lang w:val="en-US"/>
              </w:rPr>
              <w:t>Weeks–decades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760527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760527">
              <w:rPr>
                <w:rFonts w:ascii="Adobe Devanagari" w:hAnsi="Adobe Devanagari" w:cs="Adobe Devanagari"/>
                <w:lang w:val="en-US"/>
              </w:rPr>
              <w:t>&lt; 25,000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B5125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High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B900F9" w:rsidRDefault="00760527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Medium (</w:t>
            </w:r>
            <w:r w:rsidRPr="00760527">
              <w:rPr>
                <w:rFonts w:ascii="Adobe Devanagari" w:hAnsi="Adobe Devanagari" w:cs="Adobe Devanagari"/>
                <w:lang w:val="en-US"/>
              </w:rPr>
              <w:t>~ 1 km</w:t>
            </w:r>
            <w:r>
              <w:rPr>
                <w:rFonts w:ascii="Adobe Devanagari" w:hAnsi="Adobe Devanagari" w:cs="Adobe Devanagari"/>
                <w:lang w:val="en-US"/>
              </w:rPr>
              <w:t>)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B900F9" w:rsidRDefault="008B290D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B900F9">
              <w:rPr>
                <w:rFonts w:ascii="Adobe Devanagari" w:hAnsi="Adobe Devanagari" w:cs="Adobe Devanagari"/>
                <w:lang w:val="en-US"/>
              </w:rPr>
              <w:t xml:space="preserve">Interval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8B290D" w:rsidP="00B5125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B900F9">
              <w:rPr>
                <w:rFonts w:ascii="Adobe Devanagari" w:hAnsi="Adobe Devanagari" w:cs="Adobe Devanagari"/>
                <w:lang w:val="en-US"/>
              </w:rPr>
              <w:t xml:space="preserve">High </w:t>
            </w:r>
            <w:r w:rsidR="00760527" w:rsidRPr="00760527">
              <w:rPr>
                <w:rFonts w:ascii="Adobe Devanagari" w:hAnsi="Adobe Devanagari" w:cs="Adobe Devanagari"/>
                <w:lang w:val="en-US"/>
              </w:rPr>
              <w:t>5–25</w:t>
            </w:r>
            <w:r w:rsidR="00760527">
              <w:rPr>
                <w:rFonts w:ascii="Adobe Devanagari" w:hAnsi="Adobe Devanagari" w:cs="Adobe Devanagari"/>
                <w:lang w:val="en-US"/>
              </w:rPr>
              <w:t xml:space="preserve"> </w:t>
            </w:r>
            <w:r w:rsidR="00B5125F">
              <w:rPr>
                <w:rFonts w:ascii="Adobe Devanagari" w:hAnsi="Adobe Devanagari" w:cs="Adobe Devanagari"/>
                <w:lang w:val="en-US"/>
              </w:rPr>
              <w:t>m</w:t>
            </w:r>
            <w:r w:rsidRPr="00B900F9">
              <w:rPr>
                <w:rFonts w:ascii="Adobe Devanagari" w:hAnsi="Adobe Devanagari" w:cs="Adobe Devanagari"/>
                <w:lang w:val="en-US"/>
              </w:rPr>
              <w:t>m 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0145A" w:rsidRDefault="00F56183" w:rsidP="00A92132">
      <w:pPr>
        <w:jc w:val="both"/>
        <w:rPr>
          <w:rFonts w:ascii="Adobe Devanagari" w:hAnsi="Adobe Devanagari" w:cs="Adobe Devanagari"/>
          <w:lang w:val="en-US"/>
        </w:rPr>
      </w:pPr>
      <w:r>
        <w:rPr>
          <w:rFonts w:ascii="Adobe Devanagari" w:hAnsi="Adobe Devanagari" w:cs="Adobe Devanagari"/>
          <w:lang w:val="en-US"/>
        </w:rPr>
        <w:t xml:space="preserve">The operator walks with the </w:t>
      </w:r>
      <w:r w:rsidRPr="00F56183">
        <w:rPr>
          <w:rFonts w:ascii="Adobe Devanagari" w:hAnsi="Adobe Devanagari" w:cs="Adobe Devanagari"/>
          <w:lang w:val="en-US"/>
        </w:rPr>
        <w:t>DGPS-RTK</w:t>
      </w:r>
      <w:r>
        <w:rPr>
          <w:rFonts w:ascii="Adobe Devanagari" w:hAnsi="Adobe Devanagari" w:cs="Adobe Devanagari"/>
          <w:lang w:val="en-US"/>
        </w:rPr>
        <w:t xml:space="preserve"> in transects line or areas marking the terrain at certain distances</w:t>
      </w:r>
      <w:r w:rsidR="00C0145A">
        <w:rPr>
          <w:rFonts w:ascii="Adobe Devanagari" w:hAnsi="Adobe Devanagari" w:cs="Adobe Devanagari"/>
          <w:lang w:val="en-US"/>
        </w:rPr>
        <w:t xml:space="preserve">. </w:t>
      </w:r>
      <w:r>
        <w:rPr>
          <w:rFonts w:ascii="Adobe Devanagari" w:hAnsi="Adobe Devanagari" w:cs="Adobe Devanagari"/>
          <w:lang w:val="en-US"/>
        </w:rPr>
        <w:t xml:space="preserve">It is important to measure all the important features in terrain (e.g. deeper points or channels). In this way the cross </w:t>
      </w:r>
      <w:r w:rsidR="00B41FC5">
        <w:rPr>
          <w:rFonts w:ascii="Adobe Devanagari" w:hAnsi="Adobe Devanagari" w:cs="Adobe Devanagari"/>
          <w:lang w:val="en-US"/>
        </w:rPr>
        <w:t>sections</w:t>
      </w:r>
      <w:bookmarkStart w:id="0" w:name="_GoBack"/>
      <w:bookmarkEnd w:id="0"/>
      <w:r>
        <w:rPr>
          <w:rFonts w:ascii="Adobe Devanagari" w:hAnsi="Adobe Devanagari" w:cs="Adobe Devanagari"/>
          <w:lang w:val="en-US"/>
        </w:rPr>
        <w:t xml:space="preserve"> or interpolated surfaces are more realistic. </w:t>
      </w:r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F56183" w:rsidRDefault="00F56183" w:rsidP="00AB78FD">
      <w:pPr>
        <w:jc w:val="both"/>
        <w:rPr>
          <w:rFonts w:ascii="Adobe Devanagari" w:hAnsi="Adobe Devanagari" w:cs="Adobe Devanagari"/>
          <w:b/>
          <w:lang w:val="en-US"/>
        </w:rPr>
      </w:pPr>
      <w:r>
        <w:t>DGPS-RTK</w:t>
      </w:r>
      <w:r w:rsidRPr="004851BC">
        <w:rPr>
          <w:rFonts w:ascii="Adobe Devanagari" w:hAnsi="Adobe Devanagari" w:cs="Adobe Devanagari"/>
          <w:b/>
          <w:lang w:val="en-US"/>
        </w:rPr>
        <w:t xml:space="preserve"> </w:t>
      </w:r>
    </w:p>
    <w:p w:rsidR="001327DF" w:rsidRPr="004851BC" w:rsidRDefault="00CC4F8B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 xml:space="preserve"> </w:t>
      </w:r>
      <w:r w:rsidR="001327DF"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BA" w:rsidRDefault="007313BA" w:rsidP="004851BC">
      <w:pPr>
        <w:spacing w:after="0" w:line="240" w:lineRule="auto"/>
      </w:pPr>
      <w:r>
        <w:separator/>
      </w:r>
    </w:p>
  </w:endnote>
  <w:endnote w:type="continuationSeparator" w:id="0">
    <w:p w:rsidR="007313BA" w:rsidRDefault="007313BA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BA" w:rsidRDefault="007313BA" w:rsidP="004851BC">
      <w:pPr>
        <w:spacing w:after="0" w:line="240" w:lineRule="auto"/>
      </w:pPr>
      <w:r>
        <w:separator/>
      </w:r>
    </w:p>
  </w:footnote>
  <w:footnote w:type="continuationSeparator" w:id="0">
    <w:p w:rsidR="007313BA" w:rsidRDefault="007313BA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C4052"/>
    <w:rsid w:val="000D24C4"/>
    <w:rsid w:val="000F468C"/>
    <w:rsid w:val="00105582"/>
    <w:rsid w:val="001327DF"/>
    <w:rsid w:val="00287AF7"/>
    <w:rsid w:val="002B1281"/>
    <w:rsid w:val="002E5D64"/>
    <w:rsid w:val="00300193"/>
    <w:rsid w:val="003543E4"/>
    <w:rsid w:val="00404BE7"/>
    <w:rsid w:val="004851BC"/>
    <w:rsid w:val="006C7AE0"/>
    <w:rsid w:val="0072672F"/>
    <w:rsid w:val="007313BA"/>
    <w:rsid w:val="00760527"/>
    <w:rsid w:val="007C634C"/>
    <w:rsid w:val="0083420E"/>
    <w:rsid w:val="008811EA"/>
    <w:rsid w:val="008B290D"/>
    <w:rsid w:val="009D328A"/>
    <w:rsid w:val="009F6A16"/>
    <w:rsid w:val="00A17A7C"/>
    <w:rsid w:val="00A92132"/>
    <w:rsid w:val="00AB78FD"/>
    <w:rsid w:val="00AC6288"/>
    <w:rsid w:val="00B41FC5"/>
    <w:rsid w:val="00B5125F"/>
    <w:rsid w:val="00B900F9"/>
    <w:rsid w:val="00B93E16"/>
    <w:rsid w:val="00BC47DB"/>
    <w:rsid w:val="00BE0CBB"/>
    <w:rsid w:val="00C0145A"/>
    <w:rsid w:val="00C048C3"/>
    <w:rsid w:val="00C13E99"/>
    <w:rsid w:val="00C16EC4"/>
    <w:rsid w:val="00CC4F8B"/>
    <w:rsid w:val="00DC237E"/>
    <w:rsid w:val="00E44B71"/>
    <w:rsid w:val="00E95E7B"/>
    <w:rsid w:val="00ED1EDB"/>
    <w:rsid w:val="00F40858"/>
    <w:rsid w:val="00F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8</cp:revision>
  <dcterms:created xsi:type="dcterms:W3CDTF">2020-12-29T12:29:00Z</dcterms:created>
  <dcterms:modified xsi:type="dcterms:W3CDTF">2020-12-31T10:31:00Z</dcterms:modified>
</cp:coreProperties>
</file>